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Default"/>
        <w:spacing w:lineRule="exact" w:line="280"/>
        <w:rPr>
          <w:b/>
          <w:b/>
          <w:bCs/>
          <w:sz w:val="20"/>
          <w:szCs w:val="20"/>
          <w:lang w:val="es-ES" w:eastAsia="es-ES"/>
        </w:rPr>
      </w:pPr>
      <w:r>
        <w:rPr>
          <w:b/>
          <w:bCs/>
          <w:sz w:val="20"/>
          <w:szCs w:val="20"/>
          <w:lang w:val="es-ES" w:eastAsia="es-ES"/>
        </w:rPr>
        <w:drawing>
          <wp:anchor behindDoc="1" distT="0" distB="0" distL="0" distR="0" simplePos="0" locked="0" layoutInCell="1" allowOverlap="1" relativeHeight="2">
            <wp:simplePos x="0" y="0"/>
            <wp:positionH relativeFrom="column">
              <wp:posOffset>-1371600</wp:posOffset>
            </wp:positionH>
            <wp:positionV relativeFrom="page">
              <wp:posOffset>-11430</wp:posOffset>
            </wp:positionV>
            <wp:extent cx="7514590" cy="1463675"/>
            <wp:effectExtent l="0" t="0" r="0" b="0"/>
            <wp:wrapNone/>
            <wp:docPr id="1"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descr=""/>
                    <pic:cNvPicPr>
                      <a:picLocks noChangeAspect="1" noChangeArrowheads="1"/>
                    </pic:cNvPicPr>
                  </pic:nvPicPr>
                  <pic:blipFill>
                    <a:blip r:embed="rId2"/>
                    <a:srcRect l="-519" t="-2575" r="-519" b="-2575"/>
                    <a:stretch>
                      <a:fillRect/>
                    </a:stretch>
                  </pic:blipFill>
                  <pic:spPr bwMode="auto">
                    <a:xfrm>
                      <a:off x="0" y="0"/>
                      <a:ext cx="7514590" cy="1463675"/>
                    </a:xfrm>
                    <a:prstGeom prst="rect">
                      <a:avLst/>
                    </a:prstGeom>
                  </pic:spPr>
                </pic:pic>
              </a:graphicData>
            </a:graphic>
          </wp:anchor>
        </w:drawing>
      </w:r>
    </w:p>
    <w:p>
      <w:pPr>
        <w:pStyle w:val="Normal"/>
        <w:keepNext w:val="true"/>
        <w:tabs>
          <w:tab w:val="clear" w:pos="720"/>
          <w:tab w:val="left" w:pos="8760" w:leader="none"/>
        </w:tabs>
        <w:ind w:left="-240" w:right="0" w:hanging="0"/>
        <w:jc w:val="center"/>
        <w:rPr/>
      </w:pPr>
      <w:r>
        <w:rPr>
          <w:rFonts w:eastAsia="Arial" w:cs="Arial" w:ascii="Arial" w:hAnsi="Arial"/>
          <w:sz w:val="20"/>
          <w:highlight w:val="lightGray"/>
        </w:rPr>
        <w:t xml:space="preserve">  </w:t>
      </w:r>
      <w:r>
        <w:rPr>
          <w:rFonts w:eastAsia="Arial" w:cs="Arial" w:ascii="Arial" w:hAnsi="Arial"/>
          <w:sz w:val="20"/>
          <w:szCs w:val="20"/>
          <w:highlight w:val="lightGray"/>
        </w:rPr>
        <w:t xml:space="preserve">                                                                                                  </w:t>
      </w:r>
      <w:r>
        <w:rPr>
          <w:rFonts w:eastAsia="Arial" w:cs="Arial" w:ascii="Arial" w:hAnsi="Arial"/>
          <w:sz w:val="20"/>
          <w:szCs w:val="20"/>
          <w:highlight w:val="lightGray"/>
        </w:rPr>
        <w:t>Huesc</w:t>
      </w:r>
      <w:r>
        <w:rPr>
          <w:rFonts w:eastAsia="Arial" w:cs="Arial" w:ascii="Arial" w:hAnsi="Arial"/>
          <w:color w:val="000000"/>
          <w:sz w:val="20"/>
          <w:szCs w:val="20"/>
          <w:highlight w:val="lightGray"/>
        </w:rPr>
        <w:t>a</w:t>
      </w:r>
      <w:r>
        <w:rPr>
          <w:rFonts w:cs="Arial" w:ascii="Arial" w:hAnsi="Arial"/>
          <w:color w:val="000000"/>
          <w:sz w:val="20"/>
          <w:szCs w:val="20"/>
          <w:highlight w:val="lightGray"/>
        </w:rPr>
        <w:t xml:space="preserve">, </w:t>
      </w:r>
      <w:r>
        <w:rPr>
          <w:rFonts w:cs="Arial" w:ascii="Arial" w:hAnsi="Arial"/>
          <w:color w:val="000000"/>
          <w:sz w:val="20"/>
          <w:szCs w:val="20"/>
          <w:highlight w:val="lightGray"/>
        </w:rPr>
        <w:t xml:space="preserve">15 </w:t>
      </w:r>
      <w:r>
        <w:rPr>
          <w:rFonts w:cs="Arial" w:ascii="Arial" w:hAnsi="Arial"/>
          <w:color w:val="000000"/>
          <w:sz w:val="20"/>
          <w:szCs w:val="20"/>
          <w:highlight w:val="lightGray"/>
        </w:rPr>
        <w:t>de diciembre  de</w:t>
      </w:r>
      <w:r>
        <w:rPr>
          <w:rFonts w:cs="Arial" w:ascii="Arial" w:hAnsi="Arial"/>
          <w:sz w:val="20"/>
          <w:szCs w:val="20"/>
          <w:highlight w:val="lightGray"/>
        </w:rPr>
        <w:t xml:space="preserve"> 2019</w:t>
      </w:r>
      <w:r>
        <w:rPr>
          <w:rFonts w:cs="Arial" w:ascii="Arial" w:hAnsi="Arial"/>
          <w:color w:val="CE181E"/>
          <w:sz w:val="20"/>
          <w:szCs w:val="20"/>
          <w:highlight w:val="lightGray"/>
        </w:rPr>
        <w:t xml:space="preserve"> </w:t>
      </w:r>
    </w:p>
    <w:p>
      <w:pPr>
        <w:pStyle w:val="Default"/>
        <w:spacing w:lineRule="exact" w:line="280"/>
        <w:jc w:val="both"/>
        <w:rPr>
          <w:rFonts w:eastAsia="Arial"/>
          <w:b/>
          <w:b/>
          <w:bCs/>
          <w:sz w:val="22"/>
          <w:szCs w:val="22"/>
          <w:highlight w:val="lightGray"/>
        </w:rPr>
      </w:pPr>
      <w:r>
        <w:rPr>
          <w:rFonts w:eastAsia="Arial"/>
          <w:b/>
          <w:bCs/>
          <w:sz w:val="22"/>
          <w:szCs w:val="22"/>
          <w:highlight w:val="lightGray"/>
        </w:rPr>
        <w:t xml:space="preserve"> </w:t>
      </w:r>
    </w:p>
    <w:p>
      <w:pPr>
        <w:pStyle w:val="Normal"/>
        <w:widowControl/>
        <w:tabs>
          <w:tab w:val="clear" w:pos="720"/>
          <w:tab w:val="right" w:pos="9480" w:leader="none"/>
        </w:tabs>
        <w:suppressAutoHyphens w:val="true"/>
        <w:bidi w:val="0"/>
        <w:spacing w:lineRule="exact" w:line="240"/>
        <w:ind w:left="0" w:right="-57" w:hanging="0"/>
        <w:jc w:val="both"/>
        <w:rPr/>
      </w:pPr>
      <w:r>
        <w:rPr>
          <w:rFonts w:eastAsia="Calibri" w:cs="Arial" w:ascii="Arial" w:hAnsi="Arial"/>
          <w:b/>
          <w:bCs w:val="false"/>
          <w:i w:val="false"/>
          <w:iCs w:val="false"/>
          <w:caps w:val="false"/>
          <w:smallCaps w:val="false"/>
          <w:color w:val="000000"/>
          <w:spacing w:val="0"/>
          <w:sz w:val="20"/>
          <w:szCs w:val="20"/>
          <w:u w:val="none"/>
          <w:lang w:val="es-ES" w:eastAsia="es-ES" w:bidi="ar-SA"/>
        </w:rPr>
        <w:t xml:space="preserve">EL PLAN DE VIALIDAD INVERNAL DE LA DPH, </w:t>
      </w:r>
      <w:r>
        <w:rPr>
          <w:rFonts w:eastAsia="Calibri" w:cs="Arial" w:ascii="Arial" w:hAnsi="Arial"/>
          <w:b/>
          <w:bCs w:val="false"/>
          <w:i w:val="false"/>
          <w:iCs w:val="false"/>
          <w:caps w:val="false"/>
          <w:smallCaps w:val="false"/>
          <w:color w:val="000000"/>
          <w:spacing w:val="0"/>
          <w:sz w:val="20"/>
          <w:szCs w:val="20"/>
          <w:u w:val="none"/>
          <w:lang w:val="es-ES" w:eastAsia="es-ES" w:bidi="ar-SA"/>
        </w:rPr>
        <w:t>ACTIVO</w:t>
      </w:r>
      <w:r>
        <w:rPr>
          <w:rFonts w:eastAsia="Calibri" w:cs="Arial" w:ascii="Arial" w:hAnsi="Arial"/>
          <w:b/>
          <w:bCs w:val="false"/>
          <w:i w:val="false"/>
          <w:iCs w:val="false"/>
          <w:caps w:val="false"/>
          <w:smallCaps w:val="false"/>
          <w:color w:val="000000"/>
          <w:spacing w:val="0"/>
          <w:sz w:val="20"/>
          <w:szCs w:val="20"/>
          <w:u w:val="none"/>
          <w:lang w:val="es-ES" w:eastAsia="es-ES" w:bidi="ar-SA"/>
        </w:rPr>
        <w:t xml:space="preserve"> PARA ASEGURAR UNA BUENA CIRCULACIÓN EN LAS VÍAS LOCALES Y PROVINCIALES</w:t>
      </w:r>
    </w:p>
    <w:p>
      <w:pPr>
        <w:pStyle w:val="Normal"/>
        <w:widowControl/>
        <w:tabs>
          <w:tab w:val="clear" w:pos="720"/>
          <w:tab w:val="right" w:pos="9480" w:leader="none"/>
        </w:tabs>
        <w:suppressAutoHyphens w:val="true"/>
        <w:bidi w:val="0"/>
        <w:spacing w:lineRule="exact" w:line="240"/>
        <w:ind w:left="0" w:right="-57" w:hanging="0"/>
        <w:jc w:val="both"/>
        <w:rPr>
          <w:rFonts w:ascii="Arial" w:hAnsi="Arial" w:eastAsia="Calibri" w:cs="Arial"/>
          <w:b/>
          <w:b/>
          <w:bCs w:val="false"/>
          <w:i w:val="false"/>
          <w:i w:val="false"/>
          <w:iCs w:val="false"/>
          <w:caps w:val="false"/>
          <w:smallCaps w:val="false"/>
          <w:color w:val="000000"/>
          <w:spacing w:val="0"/>
          <w:sz w:val="20"/>
          <w:szCs w:val="20"/>
          <w:u w:val="none"/>
          <w:lang w:val="es-ES" w:eastAsia="es-ES" w:bidi="ar-SA"/>
        </w:rPr>
      </w:pPr>
      <w:r>
        <w:rPr>
          <w:rFonts w:eastAsia="Calibri" w:cs="Arial" w:ascii="Arial" w:hAnsi="Arial"/>
          <w:b/>
          <w:bCs w:val="false"/>
          <w:i w:val="false"/>
          <w:iCs w:val="false"/>
          <w:caps w:val="false"/>
          <w:smallCaps w:val="false"/>
          <w:color w:val="000000"/>
          <w:spacing w:val="0"/>
          <w:sz w:val="20"/>
          <w:szCs w:val="20"/>
          <w:u w:val="none"/>
          <w:lang w:val="es-ES" w:eastAsia="es-ES" w:bidi="ar-SA"/>
        </w:rPr>
      </w:r>
    </w:p>
    <w:p>
      <w:pPr>
        <w:pStyle w:val="Cuerpodetexto"/>
        <w:widowControl/>
        <w:tabs>
          <w:tab w:val="clear" w:pos="720"/>
          <w:tab w:val="right" w:pos="9480" w:leader="none"/>
        </w:tabs>
        <w:suppressAutoHyphens w:val="true"/>
        <w:bidi w:val="0"/>
        <w:spacing w:lineRule="auto" w:line="276" w:before="0" w:after="0"/>
        <w:ind w:left="794" w:right="0" w:hanging="0"/>
        <w:jc w:val="both"/>
        <w:rPr>
          <w:rFonts w:ascii="Arial" w:hAnsi="Arial" w:eastAsia="Calibri" w:cs="Arial"/>
          <w:b/>
          <w:b/>
          <w:bCs w:val="false"/>
          <w:i w:val="false"/>
          <w:i w:val="false"/>
          <w:iCs w:val="false"/>
          <w:caps w:val="false"/>
          <w:smallCaps w:val="false"/>
          <w:color w:val="000000"/>
          <w:spacing w:val="0"/>
          <w:sz w:val="20"/>
          <w:szCs w:val="20"/>
          <w:u w:val="none"/>
          <w:lang w:val="es-ES" w:eastAsia="es-ES" w:bidi="ar-SA"/>
        </w:rPr>
      </w:pPr>
      <w:r>
        <w:rPr>
          <w:rFonts w:eastAsia="Calibri" w:cs="Arial" w:ascii="Arial" w:hAnsi="Arial"/>
          <w:b w:val="false"/>
          <w:bCs w:val="false"/>
          <w:i w:val="false"/>
          <w:iCs w:val="false"/>
          <w:caps w:val="false"/>
          <w:smallCaps w:val="false"/>
          <w:color w:val="auto"/>
          <w:spacing w:val="0"/>
          <w:sz w:val="20"/>
          <w:szCs w:val="20"/>
          <w:u w:val="none"/>
          <w:lang w:val="es-ES" w:eastAsia="es-ES" w:bidi="ar-SA"/>
        </w:rPr>
        <w:t xml:space="preserve">El operativo se realiza en coordinación con las comarcas y el personal de los parques de Protección Civil y está </w:t>
      </w:r>
      <w:r>
        <w:rPr>
          <w:rStyle w:val="Destaquemayor"/>
          <w:rFonts w:eastAsia="Calibri" w:cs="Arial" w:ascii="Arial" w:hAnsi="Arial"/>
          <w:b w:val="false"/>
          <w:bCs w:val="false"/>
          <w:i w:val="false"/>
          <w:iCs w:val="false"/>
          <w:caps w:val="false"/>
          <w:smallCaps w:val="false"/>
          <w:color w:val="auto"/>
          <w:spacing w:val="0"/>
          <w:sz w:val="20"/>
          <w:szCs w:val="20"/>
          <w:u w:val="none"/>
          <w:lang w:val="es-ES" w:eastAsia="es-ES" w:bidi="ar-SA"/>
        </w:rPr>
        <w:t xml:space="preserve">dirigido a mantener en buen estado la red de carreteras de titularidad provincial y local, formada por cerca de 1.600 kilómetros, durante el invierno. </w:t>
      </w:r>
    </w:p>
    <w:p>
      <w:pPr>
        <w:pStyle w:val="Cuerpodetexto"/>
        <w:widowControl/>
        <w:tabs>
          <w:tab w:val="clear" w:pos="720"/>
          <w:tab w:val="right" w:pos="9480" w:leader="none"/>
        </w:tabs>
        <w:suppressAutoHyphens w:val="true"/>
        <w:bidi w:val="0"/>
        <w:spacing w:lineRule="auto" w:line="276" w:before="0" w:after="0"/>
        <w:ind w:left="794" w:right="0" w:hanging="0"/>
        <w:jc w:val="both"/>
        <w:rPr>
          <w:rStyle w:val="Destaquemayor"/>
          <w:rFonts w:ascii="Arial" w:hAnsi="Arial"/>
          <w:sz w:val="20"/>
          <w:szCs w:val="20"/>
        </w:rPr>
      </w:pPr>
      <w:r>
        <w:rPr>
          <w:rFonts w:ascii="Arial" w:hAnsi="Arial"/>
          <w:sz w:val="20"/>
          <w:szCs w:val="20"/>
        </w:rPr>
      </w:r>
    </w:p>
    <w:p>
      <w:pPr>
        <w:pStyle w:val="Cuerpodetexto"/>
        <w:widowControl/>
        <w:suppressAutoHyphens w:val="true"/>
        <w:bidi w:val="0"/>
        <w:spacing w:lineRule="auto" w:line="276" w:before="0" w:after="0"/>
        <w:ind w:left="794" w:right="0" w:hanging="0"/>
        <w:jc w:val="both"/>
        <w:rPr/>
      </w:pPr>
      <w:r>
        <w:rPr>
          <w:rStyle w:val="Destaquemayor"/>
          <w:rFonts w:eastAsia="Calibri" w:cs="Arial" w:ascii="Arial" w:hAnsi="Arial"/>
          <w:b w:val="false"/>
          <w:bCs w:val="false"/>
          <w:i w:val="false"/>
          <w:iCs w:val="false"/>
          <w:caps w:val="false"/>
          <w:smallCaps w:val="false"/>
          <w:color w:val="auto"/>
          <w:spacing w:val="0"/>
          <w:sz w:val="20"/>
          <w:szCs w:val="20"/>
          <w:u w:val="none"/>
          <w:lang w:val="es-ES" w:eastAsia="es-ES" w:bidi="ar-SA"/>
        </w:rPr>
        <w:t>Esta partida presupuestaria llega hasta nueve comarcas con el objetivo de garantizar en la medida de lo posible la seguridad de la circulación en todas aquellas vías en donde las</w:t>
      </w:r>
      <w:r>
        <w:rPr>
          <w:rFonts w:eastAsia="Calibri" w:cs="Arial" w:ascii="Arial" w:hAnsi="Arial"/>
          <w:b w:val="false"/>
          <w:bCs w:val="false"/>
          <w:i w:val="false"/>
          <w:iCs w:val="false"/>
          <w:caps w:val="false"/>
          <w:smallCaps w:val="false"/>
          <w:color w:val="auto"/>
          <w:spacing w:val="0"/>
          <w:sz w:val="20"/>
          <w:szCs w:val="20"/>
          <w:u w:val="none"/>
          <w:lang w:val="es-ES" w:eastAsia="es-ES" w:bidi="ar-SA"/>
        </w:rPr>
        <w:t xml:space="preserve"> </w:t>
      </w:r>
      <w:r>
        <w:rPr>
          <w:rStyle w:val="Destaquemayor"/>
          <w:rFonts w:eastAsia="Calibri" w:cs="Arial" w:ascii="Arial" w:hAnsi="Arial"/>
          <w:b w:val="false"/>
          <w:bCs w:val="false"/>
          <w:i w:val="false"/>
          <w:iCs w:val="false"/>
          <w:caps w:val="false"/>
          <w:smallCaps w:val="false"/>
          <w:color w:val="auto"/>
          <w:spacing w:val="0"/>
          <w:sz w:val="20"/>
          <w:szCs w:val="20"/>
          <w:u w:val="none"/>
          <w:lang w:val="es-ES" w:eastAsia="es-ES" w:bidi="ar-SA"/>
        </w:rPr>
        <w:t>heladas y nieves pueden dificultar el desplazamiento a los vecinos.</w:t>
      </w:r>
    </w:p>
    <w:p>
      <w:pPr>
        <w:pStyle w:val="Normal"/>
        <w:widowControl/>
        <w:tabs>
          <w:tab w:val="clear" w:pos="720"/>
          <w:tab w:val="right" w:pos="9480" w:leader="none"/>
        </w:tabs>
        <w:suppressAutoHyphens w:val="true"/>
        <w:bidi w:val="0"/>
        <w:spacing w:lineRule="exact" w:line="240"/>
        <w:ind w:left="0" w:right="-57" w:hanging="0"/>
        <w:jc w:val="both"/>
        <w:rPr>
          <w:rStyle w:val="Destaquemayor"/>
          <w:rFonts w:ascii="Arial" w:hAnsi="Arial"/>
          <w:sz w:val="20"/>
          <w:szCs w:val="20"/>
        </w:rPr>
      </w:pPr>
      <w:r>
        <w:rPr>
          <w:rFonts w:ascii="Arial" w:hAnsi="Arial"/>
          <w:sz w:val="20"/>
          <w:szCs w:val="20"/>
        </w:rPr>
      </w:r>
    </w:p>
    <w:p>
      <w:pPr>
        <w:pStyle w:val="Cuerpodetexto"/>
        <w:widowControl/>
        <w:tabs>
          <w:tab w:val="clear" w:pos="720"/>
          <w:tab w:val="right" w:pos="9480" w:leader="none"/>
        </w:tabs>
        <w:suppressAutoHyphens w:val="true"/>
        <w:bidi w:val="0"/>
        <w:spacing w:lineRule="auto" w:line="276" w:before="0" w:after="0"/>
        <w:ind w:left="0" w:right="0" w:hanging="0"/>
        <w:jc w:val="both"/>
        <w:rPr/>
      </w:pPr>
      <w:bookmarkStart w:id="0" w:name="m103-102-104"/>
      <w:bookmarkEnd w:id="0"/>
      <w:r>
        <w:rPr>
          <w:rStyle w:val="Destaquemayor"/>
          <w:rFonts w:ascii="Arial" w:hAnsi="Arial"/>
          <w:b w:val="false"/>
          <w:bCs w:val="false"/>
          <w:i w:val="false"/>
          <w:caps w:val="false"/>
          <w:smallCaps w:val="false"/>
          <w:color w:val="auto"/>
          <w:spacing w:val="0"/>
          <w:sz w:val="20"/>
          <w:szCs w:val="20"/>
        </w:rPr>
        <w:t>La Diputación Provincial de Huesca ha desplegado un año más el operativo de vialidad invernal con la llegada del invierno y las bajas temperaturas. La seguridad en la circulación por los cerca de 1.600 kilómetros de la red vial local y provincial</w:t>
      </w:r>
      <w:r>
        <w:rPr>
          <w:rStyle w:val="Destaquemayor"/>
          <w:rFonts w:ascii="Arial" w:hAnsi="Arial"/>
          <w:b w:val="false"/>
          <w:bCs w:val="false"/>
          <w:color w:val="auto"/>
          <w:sz w:val="20"/>
          <w:szCs w:val="20"/>
        </w:rPr>
        <w:t xml:space="preserve"> es una de las prioridades del plan de vialidad invernal de esta administración asegura cada año, que para esta temporada cuenta con una dotación de más de 400.000 euros, entre los gastos de mantenimiento de los servicios de vialidad invernal que prestan las Comarcas y la inversión en los equipamientos para este servicio. Además, hay un contrato de casi 600.000 euros para suministro de sal a las comarcas para dos campañas: la actual 2019 – 2020 y la 2020 - 2021.</w:t>
      </w:r>
    </w:p>
    <w:p>
      <w:pPr>
        <w:pStyle w:val="Cuerpodetexto"/>
        <w:widowControl/>
        <w:tabs>
          <w:tab w:val="clear" w:pos="720"/>
          <w:tab w:val="right" w:pos="9480" w:leader="none"/>
        </w:tabs>
        <w:suppressAutoHyphens w:val="true"/>
        <w:bidi w:val="0"/>
        <w:spacing w:lineRule="auto" w:line="276" w:before="0" w:after="0"/>
        <w:ind w:left="0" w:right="0" w:hanging="0"/>
        <w:jc w:val="both"/>
        <w:rPr>
          <w:rFonts w:ascii="Arial" w:hAnsi="Arial"/>
          <w:b w:val="false"/>
          <w:b w:val="false"/>
          <w:bCs w:val="false"/>
          <w:color w:val="auto"/>
          <w:sz w:val="20"/>
          <w:szCs w:val="20"/>
        </w:rPr>
      </w:pPr>
      <w:r>
        <w:rPr>
          <w:rFonts w:ascii="Arial" w:hAnsi="Arial"/>
          <w:b w:val="false"/>
          <w:bCs w:val="false"/>
          <w:color w:val="auto"/>
          <w:sz w:val="20"/>
          <w:szCs w:val="20"/>
        </w:rPr>
      </w:r>
    </w:p>
    <w:p>
      <w:pPr>
        <w:pStyle w:val="Cuerpodetexto"/>
        <w:widowControl/>
        <w:tabs>
          <w:tab w:val="clear" w:pos="720"/>
          <w:tab w:val="right" w:pos="9480" w:leader="none"/>
        </w:tabs>
        <w:suppressAutoHyphens w:val="true"/>
        <w:bidi w:val="0"/>
        <w:spacing w:lineRule="auto" w:line="276" w:before="0" w:after="0"/>
        <w:ind w:left="0" w:right="0" w:hanging="0"/>
        <w:jc w:val="both"/>
        <w:rPr/>
      </w:pPr>
      <w:r>
        <w:rPr>
          <w:rFonts w:ascii="Arial" w:hAnsi="Arial"/>
          <w:b w:val="false"/>
          <w:bCs w:val="false"/>
          <w:color w:val="auto"/>
          <w:sz w:val="20"/>
          <w:szCs w:val="20"/>
        </w:rPr>
        <w:t xml:space="preserve">El operativo está </w:t>
      </w:r>
      <w:r>
        <w:rPr>
          <w:rStyle w:val="Destaquemayor"/>
          <w:rFonts w:ascii="Arial" w:hAnsi="Arial"/>
          <w:b w:val="false"/>
          <w:bCs w:val="false"/>
          <w:color w:val="auto"/>
          <w:sz w:val="20"/>
          <w:szCs w:val="20"/>
        </w:rPr>
        <w:t xml:space="preserve">dirigido a mantener en buen estado esta red de carreteras en época invernal y </w:t>
      </w:r>
      <w:r>
        <w:rPr>
          <w:rFonts w:ascii="Arial" w:hAnsi="Arial"/>
          <w:b w:val="false"/>
          <w:bCs w:val="false"/>
          <w:color w:val="auto"/>
          <w:sz w:val="20"/>
          <w:szCs w:val="20"/>
        </w:rPr>
        <w:t>está centrado en</w:t>
      </w:r>
      <w:r>
        <w:rPr>
          <w:rStyle w:val="Destaquemayor"/>
          <w:rFonts w:ascii="Arial" w:hAnsi="Arial"/>
          <w:b w:val="false"/>
          <w:bCs w:val="false"/>
          <w:color w:val="auto"/>
          <w:sz w:val="20"/>
          <w:szCs w:val="20"/>
        </w:rPr>
        <w:t xml:space="preserve"> la prevención de heladas, la aplicación de fundentes, la instalación de silos de acopio de sal y la retirada de nieve. Este servicio da cobertura</w:t>
      </w:r>
      <w:r>
        <w:rPr>
          <w:rFonts w:ascii="Arial" w:hAnsi="Arial"/>
          <w:b w:val="false"/>
          <w:bCs w:val="false"/>
          <w:color w:val="auto"/>
          <w:sz w:val="20"/>
          <w:szCs w:val="20"/>
        </w:rPr>
        <w:t xml:space="preserve"> al 80% de las poblaciones altoaragonesas y se realiza en coordinación con las comarcas y el personal de los parques de Protección Civil que</w:t>
      </w:r>
      <w:r>
        <w:rPr>
          <w:rStyle w:val="Destaquemayor"/>
          <w:rFonts w:ascii="Arial" w:hAnsi="Arial"/>
          <w:b w:val="false"/>
          <w:bCs w:val="false"/>
          <w:color w:val="auto"/>
          <w:sz w:val="20"/>
          <w:szCs w:val="20"/>
        </w:rPr>
        <w:t xml:space="preserve"> cubre no solo a las zonas de montaña, sino también donde el hielo puede ser un problema en cualquier desplazamiento. </w:t>
      </w:r>
    </w:p>
    <w:p>
      <w:pPr>
        <w:pStyle w:val="Cuerpodetexto"/>
        <w:widowControl/>
        <w:tabs>
          <w:tab w:val="clear" w:pos="720"/>
          <w:tab w:val="right" w:pos="9480" w:leader="none"/>
        </w:tabs>
        <w:suppressAutoHyphens w:val="true"/>
        <w:bidi w:val="0"/>
        <w:spacing w:lineRule="auto" w:line="276" w:before="0" w:after="0"/>
        <w:ind w:left="0" w:right="0" w:hanging="0"/>
        <w:jc w:val="both"/>
        <w:rPr>
          <w:rStyle w:val="Destaquemayor"/>
          <w:rFonts w:ascii="Arial" w:hAnsi="Arial"/>
          <w:b w:val="false"/>
          <w:b w:val="false"/>
          <w:bCs w:val="false"/>
          <w:color w:val="auto"/>
          <w:sz w:val="20"/>
          <w:szCs w:val="20"/>
        </w:rPr>
      </w:pPr>
      <w:r>
        <w:rPr>
          <w:rFonts w:ascii="Arial" w:hAnsi="Arial"/>
          <w:b w:val="false"/>
          <w:bCs w:val="false"/>
          <w:color w:val="auto"/>
          <w:sz w:val="20"/>
          <w:szCs w:val="20"/>
        </w:rPr>
      </w:r>
    </w:p>
    <w:p>
      <w:pPr>
        <w:pStyle w:val="Cuerpodetexto"/>
        <w:widowControl/>
        <w:tabs>
          <w:tab w:val="clear" w:pos="720"/>
          <w:tab w:val="right" w:pos="9480" w:leader="none"/>
        </w:tabs>
        <w:suppressAutoHyphens w:val="true"/>
        <w:bidi w:val="0"/>
        <w:spacing w:lineRule="auto" w:line="276" w:before="0" w:after="0"/>
        <w:ind w:left="0" w:right="0" w:hanging="0"/>
        <w:jc w:val="both"/>
        <w:rPr/>
      </w:pPr>
      <w:r>
        <w:rPr>
          <w:rStyle w:val="Destaquemayor"/>
          <w:rFonts w:ascii="Arial" w:hAnsi="Arial"/>
          <w:b w:val="false"/>
          <w:bCs w:val="false"/>
          <w:color w:val="auto"/>
          <w:sz w:val="20"/>
          <w:szCs w:val="20"/>
        </w:rPr>
        <w:t>Como ha precisado el diputado responsable de la Comisión de Infraestructuras, Joaquín Monesma, en este dispositivo de prevención vial, “también están involucrados los ayuntamientos de la provincia porque son los que mejor conocen el territorio, cuáles son los problemas que se les presentan y cuáles son las prioridades que tienen que atender primero”.</w:t>
      </w:r>
    </w:p>
    <w:p>
      <w:pPr>
        <w:pStyle w:val="Cuerpodetexto"/>
        <w:widowControl/>
        <w:tabs>
          <w:tab w:val="clear" w:pos="720"/>
          <w:tab w:val="right" w:pos="9480" w:leader="none"/>
        </w:tabs>
        <w:suppressAutoHyphens w:val="true"/>
        <w:bidi w:val="0"/>
        <w:spacing w:lineRule="auto" w:line="276" w:before="0" w:after="0"/>
        <w:ind w:left="0" w:right="0" w:hanging="0"/>
        <w:jc w:val="both"/>
        <w:rPr/>
      </w:pPr>
      <w:r>
        <w:rPr>
          <w:rFonts w:ascii="Arial" w:hAnsi="Arial"/>
          <w:b w:val="false"/>
          <w:bCs w:val="false"/>
          <w:color w:val="auto"/>
          <w:sz w:val="20"/>
          <w:szCs w:val="20"/>
        </w:rPr>
        <w:t>También ha añadido que “</w:t>
      </w:r>
      <w:r>
        <w:rPr>
          <w:rStyle w:val="Destaquemayor"/>
          <w:rFonts w:ascii="Arial" w:hAnsi="Arial"/>
          <w:b w:val="false"/>
          <w:bCs w:val="false"/>
          <w:color w:val="auto"/>
          <w:sz w:val="20"/>
          <w:szCs w:val="20"/>
        </w:rPr>
        <w:t>es fundamental</w:t>
      </w:r>
      <w:r>
        <w:rPr>
          <w:rFonts w:ascii="Arial" w:hAnsi="Arial"/>
          <w:b w:val="false"/>
          <w:bCs w:val="false"/>
          <w:color w:val="auto"/>
          <w:sz w:val="20"/>
          <w:szCs w:val="20"/>
        </w:rPr>
        <w:t xml:space="preserve"> tener diseñado el plan a principios de otoño para estar preparados para las primeras nieves que se pueden adelantar, por suerte, como en esta temporada”.  </w:t>
      </w:r>
    </w:p>
    <w:p>
      <w:pPr>
        <w:pStyle w:val="Cuerpodetexto"/>
        <w:spacing w:lineRule="auto" w:line="276" w:before="0" w:after="0"/>
        <w:ind w:left="0" w:right="0" w:hanging="0"/>
        <w:jc w:val="both"/>
        <w:rPr>
          <w:rFonts w:ascii="Arial" w:hAnsi="Arial"/>
          <w:b w:val="false"/>
          <w:b w:val="false"/>
          <w:bCs w:val="false"/>
          <w:color w:val="auto"/>
          <w:sz w:val="20"/>
          <w:szCs w:val="20"/>
        </w:rPr>
      </w:pPr>
      <w:r>
        <w:rPr>
          <w:rFonts w:ascii="Arial" w:hAnsi="Arial"/>
          <w:b w:val="false"/>
          <w:bCs w:val="false"/>
          <w:color w:val="auto"/>
          <w:sz w:val="20"/>
          <w:szCs w:val="20"/>
        </w:rPr>
      </w:r>
    </w:p>
    <w:p>
      <w:pPr>
        <w:pStyle w:val="Cuerpodetexto"/>
        <w:spacing w:lineRule="auto" w:line="276" w:before="0" w:after="0"/>
        <w:ind w:left="0" w:right="0" w:hanging="0"/>
        <w:jc w:val="both"/>
        <w:rPr/>
      </w:pPr>
      <w:r>
        <w:rPr>
          <w:rFonts w:ascii="Arial" w:hAnsi="Arial"/>
          <w:b w:val="false"/>
          <w:bCs w:val="false"/>
          <w:color w:val="auto"/>
          <w:sz w:val="20"/>
          <w:szCs w:val="20"/>
        </w:rPr>
        <w:t xml:space="preserve">Además, Monesma ha resaltado que </w:t>
      </w:r>
      <w:r>
        <w:rPr>
          <w:rStyle w:val="Destaquemayor"/>
          <w:rFonts w:ascii="Arial" w:hAnsi="Arial"/>
          <w:b w:val="false"/>
          <w:bCs w:val="false"/>
          <w:color w:val="auto"/>
          <w:sz w:val="20"/>
          <w:szCs w:val="20"/>
        </w:rPr>
        <w:t>"antes, cuando no había medios, la nieve y las heladas eran realmente un problema, lo que conseguimos es que los vecinos puedan desplazarse con normalidad también durante los meses de invierno</w:t>
      </w:r>
      <w:r>
        <w:rPr>
          <w:rFonts w:ascii="Arial" w:hAnsi="Arial"/>
          <w:b w:val="false"/>
          <w:bCs w:val="false"/>
          <w:color w:val="auto"/>
          <w:sz w:val="20"/>
          <w:szCs w:val="20"/>
        </w:rPr>
        <w:t>", en referencia al objetivo principal que se busca en cada temporada invernal.</w:t>
      </w:r>
    </w:p>
    <w:p>
      <w:pPr>
        <w:pStyle w:val="Cuerpodetexto"/>
        <w:spacing w:lineRule="auto" w:line="276" w:before="0" w:after="0"/>
        <w:ind w:left="0" w:right="0" w:hanging="0"/>
        <w:jc w:val="both"/>
        <w:rPr>
          <w:rFonts w:ascii="Arial" w:hAnsi="Arial"/>
          <w:b w:val="false"/>
          <w:b w:val="false"/>
          <w:bCs w:val="false"/>
          <w:color w:val="auto"/>
          <w:sz w:val="20"/>
          <w:szCs w:val="20"/>
        </w:rPr>
      </w:pPr>
      <w:r>
        <w:rPr>
          <w:rFonts w:ascii="Arial" w:hAnsi="Arial"/>
          <w:b w:val="false"/>
          <w:bCs w:val="false"/>
          <w:color w:val="auto"/>
          <w:sz w:val="20"/>
          <w:szCs w:val="20"/>
        </w:rPr>
      </w:r>
    </w:p>
    <w:p>
      <w:pPr>
        <w:pStyle w:val="Cuerpodetexto"/>
        <w:spacing w:lineRule="auto" w:line="276" w:before="0" w:after="0"/>
        <w:ind w:left="0" w:right="0" w:hanging="0"/>
        <w:jc w:val="both"/>
        <w:rPr/>
      </w:pPr>
      <w:r>
        <w:rPr>
          <w:rStyle w:val="Destaquemayor"/>
          <w:rFonts w:ascii="Arial" w:hAnsi="Arial"/>
          <w:b w:val="false"/>
          <w:bCs w:val="false"/>
          <w:color w:val="auto"/>
          <w:sz w:val="20"/>
          <w:szCs w:val="20"/>
        </w:rPr>
        <w:t>Esta iniciativa que echó a andar en 1980 se ajusta a</w:t>
      </w:r>
      <w:r>
        <w:rPr>
          <w:rFonts w:ascii="Arial" w:hAnsi="Arial"/>
          <w:b w:val="false"/>
          <w:bCs w:val="false"/>
          <w:color w:val="auto"/>
          <w:sz w:val="20"/>
          <w:szCs w:val="20"/>
        </w:rPr>
        <w:t xml:space="preserve"> las necesidades y a las demandas de las comarcas para dotar de recursos al dispositivo de vialidad invernal acordadas mediante reuniones con sus representantes en los meses previos.</w:t>
      </w:r>
    </w:p>
    <w:p>
      <w:pPr>
        <w:pStyle w:val="Cuerpodetexto"/>
        <w:spacing w:lineRule="auto" w:line="276" w:before="0" w:after="0"/>
        <w:ind w:left="0" w:right="0" w:hanging="0"/>
        <w:jc w:val="both"/>
        <w:rPr>
          <w:rFonts w:ascii="Arial" w:hAnsi="Arial"/>
          <w:b/>
          <w:b/>
          <w:bCs/>
          <w:color w:val="auto"/>
          <w:sz w:val="20"/>
          <w:szCs w:val="20"/>
        </w:rPr>
      </w:pPr>
      <w:r>
        <w:rPr>
          <w:rFonts w:ascii="Arial" w:hAnsi="Arial"/>
          <w:b/>
          <w:bCs/>
          <w:color w:val="auto"/>
          <w:sz w:val="20"/>
          <w:szCs w:val="20"/>
        </w:rPr>
      </w:r>
    </w:p>
    <w:p>
      <w:pPr>
        <w:pStyle w:val="Cuerpodetexto"/>
        <w:spacing w:lineRule="auto" w:line="276" w:before="0" w:after="0"/>
        <w:ind w:left="0" w:right="0" w:hanging="0"/>
        <w:jc w:val="both"/>
        <w:rPr>
          <w:rFonts w:ascii="Arial" w:hAnsi="Arial"/>
          <w:b/>
          <w:b/>
          <w:bCs/>
          <w:color w:val="auto"/>
          <w:sz w:val="20"/>
          <w:szCs w:val="20"/>
        </w:rPr>
      </w:pPr>
      <w:r>
        <w:rPr>
          <w:rFonts w:ascii="Arial" w:hAnsi="Arial"/>
          <w:b/>
          <w:bCs/>
          <w:color w:val="auto"/>
          <w:sz w:val="20"/>
          <w:szCs w:val="20"/>
        </w:rPr>
        <w:t>Más recursos</w:t>
      </w:r>
    </w:p>
    <w:p>
      <w:pPr>
        <w:pStyle w:val="Cuerpodetexto"/>
        <w:spacing w:lineRule="auto" w:line="276" w:before="0" w:after="0"/>
        <w:ind w:left="0" w:right="0" w:hanging="0"/>
        <w:jc w:val="both"/>
        <w:rPr/>
      </w:pPr>
      <w:bookmarkStart w:id="1" w:name="m133-132-134"/>
      <w:bookmarkStart w:id="2" w:name="m138-137-139"/>
      <w:bookmarkEnd w:id="1"/>
      <w:bookmarkEnd w:id="2"/>
      <w:r>
        <w:rPr>
          <w:rFonts w:ascii="Arial" w:hAnsi="Arial"/>
          <w:b w:val="false"/>
          <w:bCs w:val="false"/>
          <w:color w:val="auto"/>
          <w:sz w:val="20"/>
          <w:szCs w:val="20"/>
        </w:rPr>
        <w:t xml:space="preserve">La dotación para mantenimiento y nueva equipación en el periodo 2019-2020 supone más de 247.000 euros que ya han llegado a las comarcas y ayuntamientos para que, en una actuación conjunta con los parques, esté garantizada la </w:t>
      </w:r>
      <w:r>
        <w:rPr>
          <w:rStyle w:val="Destaquemayor"/>
          <w:rFonts w:ascii="Arial" w:hAnsi="Arial"/>
          <w:b w:val="false"/>
          <w:bCs w:val="false"/>
          <w:color w:val="auto"/>
          <w:sz w:val="20"/>
          <w:szCs w:val="20"/>
        </w:rPr>
        <w:t>seguridad en carreteras por hielo o nieve.</w:t>
      </w:r>
    </w:p>
    <w:p>
      <w:pPr>
        <w:pStyle w:val="Cuerpodetexto"/>
        <w:spacing w:lineRule="auto" w:line="276" w:before="0" w:after="0"/>
        <w:ind w:left="0" w:right="0" w:hanging="0"/>
        <w:jc w:val="both"/>
        <w:rPr>
          <w:rFonts w:ascii="Arial" w:hAnsi="Arial"/>
          <w:b w:val="false"/>
          <w:b w:val="false"/>
          <w:bCs w:val="false"/>
          <w:color w:val="auto"/>
          <w:sz w:val="20"/>
          <w:szCs w:val="20"/>
        </w:rPr>
      </w:pPr>
      <w:r>
        <w:rPr>
          <w:rFonts w:ascii="Arial" w:hAnsi="Arial"/>
          <w:b w:val="false"/>
          <w:bCs w:val="false"/>
          <w:color w:val="auto"/>
          <w:sz w:val="20"/>
          <w:szCs w:val="20"/>
        </w:rPr>
      </w:r>
    </w:p>
    <w:p>
      <w:pPr>
        <w:pStyle w:val="Cuerpodetexto"/>
        <w:spacing w:lineRule="auto" w:line="276" w:before="0" w:after="0"/>
        <w:ind w:left="0" w:right="0" w:hanging="0"/>
        <w:jc w:val="both"/>
        <w:rPr/>
      </w:pPr>
      <w:r>
        <w:rPr>
          <w:rFonts w:ascii="Arial" w:hAnsi="Arial"/>
          <w:b w:val="false"/>
          <w:bCs w:val="false"/>
          <w:color w:val="auto"/>
          <w:sz w:val="20"/>
          <w:szCs w:val="20"/>
          <w:u w:val="none"/>
        </w:rPr>
        <w:t>Con esta disponibilidad presupuestaria, que se ha visto ampliada en 47.792 euros, las diferentes</w:t>
      </w:r>
      <w:r>
        <w:rPr>
          <w:rStyle w:val="Destaquemayor"/>
          <w:rFonts w:ascii="Arial" w:hAnsi="Arial"/>
          <w:b w:val="false"/>
          <w:bCs w:val="false"/>
          <w:color w:val="auto"/>
          <w:sz w:val="20"/>
          <w:szCs w:val="20"/>
          <w:u w:val="none"/>
        </w:rPr>
        <w:t xml:space="preserve"> comarcas han conseguido nuevas cuñas quitanieves, ruedas de invierno y un nuevo vehículo que dará cobertura a las Speis, en</w:t>
      </w:r>
      <w:r>
        <w:rPr>
          <w:rFonts w:ascii="Arial" w:hAnsi="Arial"/>
          <w:b w:val="false"/>
          <w:bCs w:val="false"/>
          <w:color w:val="auto"/>
          <w:sz w:val="20"/>
          <w:szCs w:val="20"/>
          <w:u w:val="none"/>
        </w:rPr>
        <w:t xml:space="preserve"> el caso de las comarca de </w:t>
      </w:r>
      <w:r>
        <w:rPr>
          <w:rStyle w:val="Destaquemayor"/>
          <w:rFonts w:ascii="Arial" w:hAnsi="Arial"/>
          <w:b w:val="false"/>
          <w:bCs w:val="false"/>
          <w:color w:val="auto"/>
          <w:sz w:val="20"/>
          <w:szCs w:val="20"/>
          <w:u w:val="none"/>
        </w:rPr>
        <w:t>La Ribagorza</w:t>
      </w:r>
      <w:r>
        <w:rPr>
          <w:rFonts w:ascii="Arial" w:hAnsi="Arial"/>
          <w:b w:val="false"/>
          <w:bCs w:val="false"/>
          <w:color w:val="auto"/>
          <w:sz w:val="20"/>
          <w:szCs w:val="20"/>
          <w:u w:val="none"/>
        </w:rPr>
        <w:t xml:space="preserve">; el Alto Gállego cuenta ya con un nuevo silo de sal situado en Panticosa de 60 toneladas además de que se ha trasladado otro de menor tonelaje a una nueva ubicación. También se ha </w:t>
      </w:r>
      <w:r>
        <w:rPr>
          <w:rStyle w:val="Destaquemayor"/>
          <w:rFonts w:ascii="Arial" w:hAnsi="Arial"/>
          <w:b w:val="false"/>
          <w:bCs w:val="false"/>
          <w:color w:val="auto"/>
          <w:sz w:val="20"/>
          <w:szCs w:val="20"/>
          <w:u w:val="none"/>
        </w:rPr>
        <w:t>adquirido un tractor y juegos de cuchillas quitanieves para Sobrarbe.</w:t>
      </w:r>
    </w:p>
    <w:p>
      <w:pPr>
        <w:pStyle w:val="Cuerpodetexto"/>
        <w:spacing w:lineRule="auto" w:line="276" w:before="0" w:after="0"/>
        <w:ind w:left="0" w:right="0" w:hanging="0"/>
        <w:jc w:val="both"/>
        <w:rPr>
          <w:rFonts w:ascii="Arial" w:hAnsi="Arial"/>
          <w:b w:val="false"/>
          <w:b w:val="false"/>
          <w:bCs w:val="false"/>
          <w:color w:val="auto"/>
          <w:sz w:val="20"/>
          <w:szCs w:val="20"/>
          <w:u w:val="single"/>
        </w:rPr>
      </w:pPr>
      <w:r>
        <w:rPr>
          <w:rFonts w:ascii="Arial" w:hAnsi="Arial"/>
          <w:b w:val="false"/>
          <w:bCs w:val="false"/>
          <w:color w:val="auto"/>
          <w:sz w:val="20"/>
          <w:szCs w:val="20"/>
          <w:u w:val="single"/>
        </w:rPr>
      </w:r>
    </w:p>
    <w:p>
      <w:pPr>
        <w:pStyle w:val="Cuerpodetexto"/>
        <w:spacing w:lineRule="auto" w:line="276" w:before="0" w:after="0"/>
        <w:ind w:left="0" w:right="0" w:hanging="0"/>
        <w:jc w:val="both"/>
        <w:rPr/>
      </w:pPr>
      <w:r>
        <w:rPr>
          <w:rFonts w:ascii="Arial" w:hAnsi="Arial"/>
          <w:b w:val="false"/>
          <w:bCs w:val="false"/>
          <w:color w:val="auto"/>
          <w:sz w:val="20"/>
          <w:szCs w:val="20"/>
          <w:u w:val="none"/>
        </w:rPr>
        <w:t xml:space="preserve">En cuanto a la </w:t>
      </w:r>
      <w:r>
        <w:rPr>
          <w:rStyle w:val="Destaquemayor"/>
          <w:rFonts w:ascii="Arial" w:hAnsi="Arial"/>
          <w:b w:val="false"/>
          <w:bCs w:val="false"/>
          <w:color w:val="auto"/>
          <w:sz w:val="20"/>
          <w:szCs w:val="20"/>
          <w:u w:val="none"/>
        </w:rPr>
        <w:t xml:space="preserve">partida destinada a la </w:t>
      </w:r>
      <w:r>
        <w:rPr>
          <w:rFonts w:ascii="Arial" w:hAnsi="Arial"/>
          <w:b w:val="false"/>
          <w:bCs w:val="false"/>
          <w:color w:val="auto"/>
          <w:sz w:val="20"/>
          <w:szCs w:val="20"/>
          <w:u w:val="none"/>
        </w:rPr>
        <w:t xml:space="preserve">Jacetania se ha dirigido a la compra de un nuevo vehículo, la reparación del quitanieves y la realización de mejoras en lo silos para fundentes de la zona. También han invertido en tecnología, trajes de seguridad y otras reparaciones, </w:t>
      </w:r>
      <w:r>
        <w:rPr>
          <w:rStyle w:val="Destaquemayor"/>
          <w:rFonts w:ascii="Arial" w:hAnsi="Arial"/>
          <w:b w:val="false"/>
          <w:bCs w:val="false"/>
          <w:color w:val="auto"/>
          <w:sz w:val="20"/>
          <w:szCs w:val="20"/>
          <w:u w:val="none"/>
        </w:rPr>
        <w:t xml:space="preserve">Bajo Cinca, Somontano y Cinca Medio mientras que en Monegros han instalado un vallado en el silo además de la reparación del salero y del sistema luminoso acústico del vehículo expendedor de fundentes. </w:t>
      </w:r>
    </w:p>
    <w:p>
      <w:pPr>
        <w:pStyle w:val="Cuerpodetexto"/>
        <w:spacing w:lineRule="auto" w:line="276" w:before="0" w:after="0"/>
        <w:ind w:left="0" w:right="0" w:hanging="0"/>
        <w:jc w:val="both"/>
        <w:rPr>
          <w:rStyle w:val="Destaquemayor"/>
          <w:rFonts w:ascii="Arial" w:hAnsi="Arial"/>
          <w:sz w:val="20"/>
          <w:szCs w:val="20"/>
        </w:rPr>
      </w:pPr>
      <w:r>
        <w:rPr>
          <w:rFonts w:ascii="Arial" w:hAnsi="Arial"/>
          <w:sz w:val="20"/>
          <w:szCs w:val="20"/>
        </w:rPr>
      </w:r>
    </w:p>
    <w:p>
      <w:pPr>
        <w:pStyle w:val="Cuerpodetexto"/>
        <w:spacing w:lineRule="auto" w:line="276" w:before="0" w:after="0"/>
        <w:ind w:left="0" w:right="0" w:hanging="0"/>
        <w:jc w:val="both"/>
        <w:rPr/>
      </w:pPr>
      <w:bookmarkStart w:id="3" w:name="m143-142-144"/>
      <w:bookmarkEnd w:id="3"/>
      <w:r>
        <w:rPr>
          <w:rStyle w:val="Destaquemayor"/>
          <w:rFonts w:ascii="Arial" w:hAnsi="Arial"/>
          <w:b w:val="false"/>
          <w:bCs w:val="false"/>
          <w:color w:val="auto"/>
          <w:sz w:val="20"/>
          <w:szCs w:val="20"/>
        </w:rPr>
        <w:t xml:space="preserve">El resto de la inversión, se distribuye entre los convenios acordados con las entidades comarcales </w:t>
      </w:r>
      <w:r>
        <w:rPr>
          <w:rFonts w:ascii="Arial" w:hAnsi="Arial"/>
          <w:b w:val="false"/>
          <w:bCs w:val="false"/>
          <w:color w:val="auto"/>
          <w:sz w:val="20"/>
          <w:szCs w:val="20"/>
        </w:rPr>
        <w:t xml:space="preserve">para el suministro de sal, teniendo en cuenta las necesidades de cada territorio. En este sentido, este año se ha aprobado una inversión superior de esta partida presupuestaria, ya que contempla la adquisición de fundentes de forma bienal, extensible durante las campañas 2019-2020 y 2020-2021. </w:t>
      </w:r>
    </w:p>
    <w:p>
      <w:pPr>
        <w:pStyle w:val="Cuerpodetexto"/>
        <w:spacing w:lineRule="auto" w:line="276" w:before="0" w:after="0"/>
        <w:ind w:left="0" w:right="0" w:hanging="0"/>
        <w:jc w:val="both"/>
        <w:rPr>
          <w:rFonts w:ascii="Arial" w:hAnsi="Arial"/>
          <w:b w:val="false"/>
          <w:b w:val="false"/>
          <w:bCs w:val="false"/>
          <w:color w:val="auto"/>
          <w:sz w:val="20"/>
          <w:szCs w:val="20"/>
        </w:rPr>
      </w:pPr>
      <w:r>
        <w:rPr>
          <w:rFonts w:ascii="Arial" w:hAnsi="Arial"/>
          <w:b w:val="false"/>
          <w:bCs w:val="false"/>
          <w:color w:val="auto"/>
          <w:sz w:val="20"/>
          <w:szCs w:val="20"/>
        </w:rPr>
      </w:r>
    </w:p>
    <w:p>
      <w:pPr>
        <w:pStyle w:val="Cuerpodetexto"/>
        <w:spacing w:lineRule="auto" w:line="276" w:before="0" w:after="0"/>
        <w:ind w:left="0" w:right="0" w:hanging="0"/>
        <w:jc w:val="both"/>
        <w:rPr/>
      </w:pPr>
      <w:bookmarkStart w:id="4" w:name="m168-167-169"/>
      <w:bookmarkEnd w:id="4"/>
      <w:r>
        <w:rPr>
          <w:rFonts w:ascii="Arial" w:hAnsi="Arial"/>
          <w:b w:val="false"/>
          <w:bCs w:val="false"/>
          <w:color w:val="auto"/>
          <w:sz w:val="20"/>
          <w:szCs w:val="20"/>
        </w:rPr>
        <w:t xml:space="preserve">La provincia de Huesca tiene una orografía montañosa donde </w:t>
      </w:r>
      <w:r>
        <w:rPr>
          <w:rStyle w:val="Destaquemayor"/>
          <w:rFonts w:ascii="Arial" w:hAnsi="Arial"/>
          <w:b w:val="false"/>
          <w:bCs w:val="false"/>
          <w:color w:val="auto"/>
          <w:sz w:val="20"/>
          <w:szCs w:val="20"/>
        </w:rPr>
        <w:t xml:space="preserve">300 núcleos se encuentran entre los 500 y los 1.700 metros, en más de 90 puntos de estos puntos residen alrededor de 10.000 personas y 70 están por encima de los 1.000 metros. </w:t>
      </w:r>
    </w:p>
    <w:p>
      <w:pPr>
        <w:pStyle w:val="Cuerpodetexto"/>
        <w:spacing w:lineRule="auto" w:line="276" w:before="0" w:after="0"/>
        <w:ind w:left="0" w:right="0" w:hanging="0"/>
        <w:jc w:val="both"/>
        <w:rPr>
          <w:rStyle w:val="Destaquemayor"/>
          <w:rFonts w:ascii="Arial" w:hAnsi="Arial"/>
          <w:b w:val="false"/>
          <w:b w:val="false"/>
          <w:bCs w:val="false"/>
          <w:color w:val="auto"/>
          <w:sz w:val="20"/>
          <w:szCs w:val="20"/>
        </w:rPr>
      </w:pPr>
      <w:r>
        <w:rPr>
          <w:rFonts w:ascii="Arial" w:hAnsi="Arial"/>
          <w:b w:val="false"/>
          <w:bCs w:val="false"/>
          <w:color w:val="auto"/>
          <w:sz w:val="20"/>
          <w:szCs w:val="20"/>
        </w:rPr>
      </w:r>
    </w:p>
    <w:p>
      <w:pPr>
        <w:pStyle w:val="Cuerpodetexto"/>
        <w:spacing w:lineRule="auto" w:line="276" w:before="0" w:after="0"/>
        <w:ind w:left="0" w:right="0" w:hanging="0"/>
        <w:jc w:val="both"/>
        <w:rPr/>
      </w:pPr>
      <w:r>
        <w:rPr>
          <w:rStyle w:val="Destaquemayor"/>
          <w:rFonts w:ascii="Arial" w:hAnsi="Arial"/>
          <w:b w:val="false"/>
          <w:bCs w:val="false"/>
          <w:color w:val="auto"/>
          <w:sz w:val="20"/>
          <w:szCs w:val="20"/>
        </w:rPr>
        <w:t xml:space="preserve">Este operativo </w:t>
      </w:r>
      <w:r>
        <w:rPr>
          <w:rStyle w:val="Destaquemayor"/>
          <w:rFonts w:eastAsia="Times New Roman" w:cs="Times New Roman" w:ascii="Arial" w:hAnsi="Arial"/>
          <w:b w:val="false"/>
          <w:bCs w:val="false"/>
          <w:i w:val="false"/>
          <w:caps w:val="false"/>
          <w:smallCaps w:val="false"/>
          <w:color w:val="auto"/>
          <w:spacing w:val="0"/>
          <w:sz w:val="20"/>
          <w:szCs w:val="20"/>
          <w:lang w:val="es-ES" w:eastAsia="zh-CN" w:bidi="ar-SA"/>
        </w:rPr>
        <w:t>permite trabajar con mayor rapidez y aumentar la eficacia en la temporada invernal para normalizar la vida de los vecinos de estas zonas y que tanto el transporte escolar, como los centros de salud puedan abrir o que el médico pueda salir a realizar visitas de urgencia.</w:t>
      </w:r>
    </w:p>
    <w:p>
      <w:pPr>
        <w:pStyle w:val="Cuerpodetexto"/>
        <w:spacing w:lineRule="auto" w:line="276" w:before="0" w:after="0"/>
        <w:ind w:left="0" w:right="0" w:hanging="0"/>
        <w:jc w:val="both"/>
        <w:rPr>
          <w:rFonts w:ascii="Arial" w:hAnsi="Arial"/>
          <w:b w:val="false"/>
          <w:b w:val="false"/>
          <w:bCs w:val="false"/>
          <w:color w:val="auto"/>
          <w:sz w:val="20"/>
          <w:szCs w:val="20"/>
        </w:rPr>
      </w:pPr>
      <w:r>
        <w:rPr>
          <w:rFonts w:ascii="Arial" w:hAnsi="Arial"/>
          <w:b w:val="false"/>
          <w:bCs w:val="false"/>
          <w:color w:val="auto"/>
          <w:sz w:val="20"/>
          <w:szCs w:val="20"/>
        </w:rPr>
        <w:t xml:space="preserve"> </w:t>
      </w:r>
    </w:p>
    <w:p>
      <w:pPr>
        <w:pStyle w:val="Cuerpodetexto"/>
        <w:widowControl/>
        <w:spacing w:lineRule="auto" w:line="276" w:before="0" w:after="0"/>
        <w:ind w:left="0" w:right="0" w:hanging="0"/>
        <w:jc w:val="both"/>
        <w:rPr>
          <w:rFonts w:ascii="Arial" w:hAnsi="Arial"/>
          <w:b w:val="false"/>
          <w:b w:val="false"/>
          <w:i w:val="false"/>
          <w:i w:val="false"/>
          <w:caps w:val="false"/>
          <w:smallCaps w:val="false"/>
          <w:color w:val="5C5C5C"/>
          <w:spacing w:val="0"/>
          <w:sz w:val="20"/>
          <w:szCs w:val="20"/>
        </w:rPr>
      </w:pPr>
      <w:r>
        <w:rPr>
          <w:rFonts w:ascii="Arial" w:hAnsi="Arial"/>
          <w:b w:val="false"/>
          <w:i w:val="false"/>
          <w:caps w:val="false"/>
          <w:smallCaps w:val="false"/>
          <w:color w:val="5C5C5C"/>
          <w:spacing w:val="0"/>
          <w:sz w:val="20"/>
          <w:szCs w:val="20"/>
        </w:rPr>
      </w:r>
    </w:p>
    <w:p>
      <w:pPr>
        <w:pStyle w:val="Normal"/>
        <w:widowControl/>
        <w:tabs>
          <w:tab w:val="clear" w:pos="720"/>
          <w:tab w:val="right" w:pos="9480" w:leader="none"/>
        </w:tabs>
        <w:suppressAutoHyphens w:val="true"/>
        <w:bidi w:val="0"/>
        <w:spacing w:lineRule="exact" w:line="240"/>
        <w:ind w:left="0" w:right="-57" w:hanging="0"/>
        <w:jc w:val="both"/>
        <w:rPr>
          <w:rFonts w:ascii="Arial" w:hAnsi="Arial" w:eastAsia="Times New Roman" w:cs="Helvetica"/>
          <w:b/>
          <w:b/>
          <w:bCs w:val="false"/>
          <w:i w:val="false"/>
          <w:i w:val="false"/>
          <w:iCs w:val="false"/>
          <w:caps w:val="false"/>
          <w:smallCaps w:val="false"/>
          <w:color w:val="1D0700"/>
          <w:spacing w:val="0"/>
          <w:sz w:val="20"/>
          <w:szCs w:val="20"/>
          <w:highlight w:val="white"/>
          <w:u w:val="none"/>
          <w:lang w:val="es-ES" w:eastAsia="es-ES" w:bidi="ar-SA"/>
        </w:rPr>
      </w:pPr>
      <w:r>
        <w:rPr>
          <w:rFonts w:eastAsia="Times New Roman" w:cs="Helvetica" w:ascii="Arial" w:hAnsi="Arial"/>
          <w:b/>
          <w:bCs w:val="false"/>
          <w:i w:val="false"/>
          <w:iCs w:val="false"/>
          <w:caps w:val="false"/>
          <w:smallCaps w:val="false"/>
          <w:color w:val="1D0700"/>
          <w:spacing w:val="0"/>
          <w:sz w:val="20"/>
          <w:szCs w:val="20"/>
          <w:highlight w:val="white"/>
          <w:u w:val="none"/>
          <w:lang w:val="es-ES" w:eastAsia="es-ES" w:bidi="ar-SA"/>
        </w:rPr>
      </w:r>
    </w:p>
    <w:p>
      <w:pPr>
        <w:pStyle w:val="Normal"/>
        <w:tabs>
          <w:tab w:val="clear" w:pos="720"/>
          <w:tab w:val="right" w:pos="9480" w:leader="none"/>
        </w:tabs>
        <w:spacing w:lineRule="auto" w:line="240"/>
        <w:jc w:val="both"/>
        <w:rPr>
          <w:rFonts w:ascii="Arial" w:hAnsi="Arial"/>
          <w:b/>
          <w:b/>
          <w:color w:val="000000"/>
          <w:sz w:val="20"/>
          <w:szCs w:val="20"/>
          <w:lang w:val="es-ES"/>
        </w:rPr>
      </w:pPr>
      <w:r>
        <w:rPr>
          <w:rFonts w:ascii="Arial" w:hAnsi="Arial"/>
          <w:b/>
          <w:color w:val="000000"/>
          <w:sz w:val="20"/>
          <w:szCs w:val="20"/>
          <w:lang w:val="es-ES"/>
        </w:rPr>
      </w:r>
    </w:p>
    <w:p>
      <w:pPr>
        <w:pStyle w:val="Normal"/>
        <w:tabs>
          <w:tab w:val="clear" w:pos="720"/>
          <w:tab w:val="right" w:pos="9480" w:leader="none"/>
        </w:tabs>
        <w:spacing w:lineRule="auto" w:line="276"/>
        <w:jc w:val="both"/>
        <w:rPr>
          <w:rStyle w:val="Destaquemayor"/>
          <w:rFonts w:ascii="Arial" w:hAnsi="Arial"/>
          <w:sz w:val="20"/>
          <w:szCs w:val="20"/>
        </w:rPr>
      </w:pPr>
      <w:r>
        <w:rPr>
          <w:rFonts w:ascii="Arial" w:hAnsi="Arial"/>
          <w:sz w:val="20"/>
          <w:szCs w:val="20"/>
        </w:rPr>
      </w:r>
    </w:p>
    <w:p>
      <w:pPr>
        <w:pStyle w:val="Normal"/>
        <w:tabs>
          <w:tab w:val="clear" w:pos="720"/>
          <w:tab w:val="right" w:pos="9480" w:leader="none"/>
        </w:tabs>
        <w:spacing w:lineRule="auto" w:line="240"/>
        <w:rPr>
          <w:rFonts w:ascii="Arial" w:hAnsi="Arial"/>
          <w:b w:val="false"/>
          <w:b w:val="false"/>
          <w:color w:val="000000"/>
          <w:sz w:val="20"/>
          <w:szCs w:val="20"/>
          <w:u w:val="none"/>
          <w:lang w:val="es-ES"/>
        </w:rPr>
      </w:pPr>
      <w:r>
        <w:rPr>
          <w:rFonts w:ascii="Arial" w:hAnsi="Arial"/>
          <w:b w:val="false"/>
          <w:color w:val="000000"/>
          <w:sz w:val="20"/>
          <w:szCs w:val="20"/>
          <w:u w:val="none"/>
          <w:lang w:val="es-ES"/>
        </w:rPr>
      </w:r>
    </w:p>
    <w:p>
      <w:pPr>
        <w:pStyle w:val="Normal"/>
        <w:tabs>
          <w:tab w:val="clear" w:pos="720"/>
          <w:tab w:val="right" w:pos="9480" w:leader="none"/>
        </w:tabs>
        <w:spacing w:lineRule="auto" w:line="240"/>
        <w:rPr>
          <w:rFonts w:ascii="Arial" w:hAnsi="Arial"/>
          <w:b/>
          <w:b/>
          <w:color w:val="000000"/>
          <w:sz w:val="20"/>
          <w:szCs w:val="20"/>
          <w:u w:val="none"/>
          <w:lang w:val="es-ES"/>
        </w:rPr>
      </w:pPr>
      <w:r>
        <w:rPr>
          <w:rFonts w:ascii="Arial" w:hAnsi="Arial"/>
          <w:b/>
          <w:color w:val="000000"/>
          <w:sz w:val="20"/>
          <w:szCs w:val="20"/>
          <w:u w:val="none"/>
          <w:lang w:val="es-ES"/>
        </w:rPr>
      </w:r>
    </w:p>
    <w:p>
      <w:pPr>
        <w:pStyle w:val="Normal"/>
        <w:tabs>
          <w:tab w:val="clear" w:pos="720"/>
          <w:tab w:val="right" w:pos="9480" w:leader="none"/>
        </w:tabs>
        <w:spacing w:lineRule="auto" w:line="240"/>
        <w:rPr/>
      </w:pPr>
      <w:r>
        <w:rPr/>
      </w:r>
    </w:p>
    <w:sectPr>
      <w:type w:val="nextPage"/>
      <w:pgSz w:w="11906" w:h="16838"/>
      <w:pgMar w:left="1871" w:right="1650" w:header="0" w:top="3235" w:footer="0" w:bottom="141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Times">
    <w:altName w:val="Times New Roman"/>
    <w:charset w:val="00"/>
    <w:family w:val="roman"/>
    <w:pitch w:val="variable"/>
  </w:font>
  <w:font w:name="Liberation Mono">
    <w:altName w:val="Courier New"/>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tulo1"/>
      <w:numFmt w:val="none"/>
      <w:suff w:val="nothing"/>
      <w:lvlText w:val=""/>
      <w:lvlJc w:val="left"/>
      <w:pPr>
        <w:ind w:left="0" w:hanging="0"/>
      </w:pPr>
    </w:lvl>
    <w:lvl w:ilvl="1">
      <w:start w:val="1"/>
      <w:pStyle w:val="Ttulo2"/>
      <w:numFmt w:val="none"/>
      <w:suff w:val="nothing"/>
      <w:lvlText w:val=""/>
      <w:lvlJc w:val="left"/>
      <w:pPr>
        <w:ind w:left="0" w:hanging="0"/>
      </w:pPr>
    </w:lvl>
    <w:lvl w:ilvl="2">
      <w:start w:val="1"/>
      <w:pStyle w:val="Ttulo3"/>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50"/>
  <w:displayBackgroundShape/>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s-ES" w:eastAsia="zh-CN" w:bidi="hi-IN"/>
      </w:rPr>
    </w:rPrDefault>
    <w:pPrDefault>
      <w:pPr/>
    </w:pPrDefault>
  </w:docDefaults>
  <w:style w:type="paragraph" w:styleId="Normal">
    <w:name w:val="Normal"/>
    <w:qFormat/>
    <w:pPr>
      <w:widowControl/>
      <w:suppressAutoHyphens w:val="true"/>
      <w:overflowPunct w:val="false"/>
      <w:bidi w:val="0"/>
      <w:jc w:val="left"/>
    </w:pPr>
    <w:rPr>
      <w:rFonts w:ascii="Times New Roman" w:hAnsi="Times New Roman" w:eastAsia="Times New Roman" w:cs="Times New Roman"/>
      <w:color w:val="auto"/>
      <w:kern w:val="0"/>
      <w:sz w:val="24"/>
      <w:szCs w:val="20"/>
      <w:lang w:val="es-ES" w:eastAsia="zh-CN" w:bidi="ar-SA"/>
    </w:rPr>
  </w:style>
  <w:style w:type="paragraph" w:styleId="Ttulo1">
    <w:name w:val="Heading 1"/>
    <w:next w:val="Cuerpodetexto"/>
    <w:qFormat/>
    <w:pPr>
      <w:widowControl/>
      <w:numPr>
        <w:ilvl w:val="0"/>
        <w:numId w:val="1"/>
      </w:numPr>
      <w:bidi w:val="0"/>
      <w:spacing w:before="240" w:after="120"/>
      <w:jc w:val="left"/>
      <w:outlineLvl w:val="0"/>
    </w:pPr>
    <w:rPr>
      <w:rFonts w:ascii="Liberation Serif" w:hAnsi="Liberation Serif" w:eastAsia="SimSun" w:cs="Mangal"/>
      <w:b/>
      <w:bCs/>
      <w:color w:val="auto"/>
      <w:kern w:val="0"/>
      <w:sz w:val="36"/>
      <w:szCs w:val="36"/>
      <w:lang w:val="es-ES" w:eastAsia="zh-CN" w:bidi="hi-IN"/>
    </w:rPr>
  </w:style>
  <w:style w:type="paragraph" w:styleId="Ttulo2">
    <w:name w:val="Heading 2"/>
    <w:next w:val="Cuerpodetexto"/>
    <w:qFormat/>
    <w:pPr>
      <w:widowControl/>
      <w:numPr>
        <w:ilvl w:val="1"/>
        <w:numId w:val="1"/>
      </w:numPr>
      <w:bidi w:val="0"/>
      <w:spacing w:before="200" w:after="120"/>
      <w:jc w:val="left"/>
      <w:outlineLvl w:val="1"/>
    </w:pPr>
    <w:rPr>
      <w:rFonts w:ascii="Liberation Serif" w:hAnsi="Liberation Serif" w:eastAsia="SimSun" w:cs="Mangal"/>
      <w:b/>
      <w:bCs/>
      <w:color w:val="auto"/>
      <w:kern w:val="0"/>
      <w:sz w:val="32"/>
      <w:szCs w:val="32"/>
      <w:lang w:val="es-ES" w:eastAsia="zh-CN" w:bidi="hi-IN"/>
    </w:rPr>
  </w:style>
  <w:style w:type="paragraph" w:styleId="Ttulo3">
    <w:name w:val="Heading 3"/>
    <w:next w:val="Cuerpodetexto"/>
    <w:qFormat/>
    <w:pPr>
      <w:widowControl/>
      <w:numPr>
        <w:ilvl w:val="2"/>
        <w:numId w:val="1"/>
      </w:numPr>
      <w:bidi w:val="0"/>
      <w:spacing w:before="140" w:after="120"/>
      <w:jc w:val="left"/>
      <w:outlineLvl w:val="2"/>
    </w:pPr>
    <w:rPr>
      <w:rFonts w:ascii="Liberation Serif;Times New Roman" w:hAnsi="Liberation Serif;Times New Roman" w:eastAsia="SimSun;ËÎÌå" w:cs="Mangal"/>
      <w:b/>
      <w:bCs/>
      <w:color w:val="808080"/>
      <w:kern w:val="0"/>
      <w:sz w:val="28"/>
      <w:szCs w:val="28"/>
      <w:lang w:val="es-ES" w:eastAsia="zh-CN" w:bidi="hi-I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OpenSymbol;Arial Unicode MS"/>
    </w:rPr>
  </w:style>
  <w:style w:type="character" w:styleId="WW8Num2z1">
    <w:name w:val="WW8Num2z1"/>
    <w:qFormat/>
    <w:rPr>
      <w:rFonts w:ascii="OpenSymbol;Arial Unicode MS" w:hAnsi="OpenSymbol;Arial Unicode MS" w:cs="OpenSymbol;Arial Unicode MS"/>
    </w:rPr>
  </w:style>
  <w:style w:type="character" w:styleId="WW8Num3z0">
    <w:name w:val="WW8Num3z0"/>
    <w:qFormat/>
    <w:rPr>
      <w:rFonts w:ascii="Symbol" w:hAnsi="Symbol" w:cs="OpenSymbol;Arial Unicode MS"/>
    </w:rPr>
  </w:style>
  <w:style w:type="character" w:styleId="WW8Num3z1">
    <w:name w:val="WW8Num3z1"/>
    <w:qFormat/>
    <w:rPr>
      <w:rFonts w:ascii="OpenSymbol;Arial Unicode MS" w:hAnsi="OpenSymbol;Arial Unicode MS" w:cs="OpenSymbol;Arial Unicode MS"/>
    </w:rPr>
  </w:style>
  <w:style w:type="character" w:styleId="WW8Num4z0">
    <w:name w:val="WW8Num4z0"/>
    <w:qFormat/>
    <w:rPr>
      <w:rFonts w:ascii="Symbol" w:hAnsi="Symbol" w:cs="OpenSymbol;Arial Unicode MS"/>
    </w:rPr>
  </w:style>
  <w:style w:type="character" w:styleId="WW8Num4z1">
    <w:name w:val="WW8Num4z1"/>
    <w:qFormat/>
    <w:rPr>
      <w:rFonts w:ascii="OpenSymbol;Arial Unicode MS" w:hAnsi="OpenSymbol;Arial Unicode MS" w:cs="OpenSymbol;Arial Unicode MS"/>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Fuentedeprrafopredeter">
    <w:name w:val="Fuente de párrafo predeter."/>
    <w:qFormat/>
    <w:rPr/>
  </w:style>
  <w:style w:type="character" w:styleId="Fuentedeprrafopredeter3">
    <w:name w:val="Fuente de párrafo predeter.3"/>
    <w:qFormat/>
    <w:rPr/>
  </w:style>
  <w:style w:type="character" w:styleId="Fuentedeprrafopredeter2">
    <w:name w:val="Fuente de párrafo predeter.2"/>
    <w:qFormat/>
    <w:rPr/>
  </w:style>
  <w:style w:type="character" w:styleId="Fuentedeprrafopredeter1">
    <w:name w:val="Fuente de párrafo predeter.1"/>
    <w:qFormat/>
    <w:rPr/>
  </w:style>
  <w:style w:type="character" w:styleId="EnlacedeInternet">
    <w:name w:val="Enlace de Internet"/>
    <w:rPr>
      <w:color w:val="000080"/>
      <w:u w:val="single"/>
      <w:lang w:val="zxx" w:bidi="zxx"/>
    </w:rPr>
  </w:style>
  <w:style w:type="character" w:styleId="Destaquemayor">
    <w:name w:val="Destaque mayor"/>
    <w:qFormat/>
    <w:rPr>
      <w:b/>
      <w:bCs/>
    </w:rPr>
  </w:style>
  <w:style w:type="character" w:styleId="EnlacedeInternetvisitado">
    <w:name w:val="Enlace de Internet visitado"/>
    <w:rPr>
      <w:color w:val="800000"/>
      <w:u w:val="single"/>
      <w:lang w:val="zxx" w:eastAsia="zxx" w:bidi="zxx"/>
    </w:rPr>
  </w:style>
  <w:style w:type="character" w:styleId="Destacado">
    <w:name w:val="Destacado"/>
    <w:qFormat/>
    <w:rPr>
      <w:i/>
      <w:iCs/>
    </w:rPr>
  </w:style>
  <w:style w:type="character" w:styleId="Vietas">
    <w:name w:val="Viñetas"/>
    <w:qFormat/>
    <w:rPr>
      <w:rFonts w:ascii="OpenSymbol;Arial Unicode MS" w:hAnsi="OpenSymbol;Arial Unicode MS" w:eastAsia="OpenSymbol;Arial Unicode MS" w:cs="OpenSymbol;Arial Unicode MS"/>
    </w:rPr>
  </w:style>
  <w:style w:type="character" w:styleId="DefaultParagraphFont">
    <w:name w:val="Default Paragraph Font"/>
    <w:qFormat/>
    <w:rPr/>
  </w:style>
  <w:style w:type="character" w:styleId="Strong">
    <w:name w:val="Strong"/>
    <w:basedOn w:val="DefaultParagraphFont"/>
    <w:qFormat/>
    <w:rPr>
      <w:b/>
      <w:bCs/>
    </w:rPr>
  </w:style>
  <w:style w:type="character" w:styleId="Smbolosdenumeracin">
    <w:name w:val="Símbolos de numeración"/>
    <w:qFormat/>
    <w:rPr/>
  </w:style>
  <w:style w:type="paragraph" w:styleId="Ttulo">
    <w:name w:val="Título"/>
    <w:basedOn w:val="Normal"/>
    <w:next w:val="Cuerpodetexto"/>
    <w:qFormat/>
    <w:pPr>
      <w:keepNext w:val="true"/>
      <w:spacing w:before="240" w:after="120"/>
    </w:pPr>
    <w:rPr>
      <w:rFonts w:ascii="Liberation Sans;Arial" w:hAnsi="Liberation Sans;Arial" w:eastAsia="Microsoft YaHei" w:cs="Mang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Encabezado">
    <w:name w:val="Encabezado"/>
    <w:basedOn w:val="Normal"/>
    <w:next w:val="Cuerpodetexto"/>
    <w:qFormat/>
    <w:pPr>
      <w:keepNext w:val="true"/>
      <w:spacing w:before="240" w:after="120"/>
    </w:pPr>
    <w:rPr>
      <w:rFonts w:ascii="Liberation Sans;Arial" w:hAnsi="Liberation Sans;Arial" w:eastAsia="Microsoft YaHei" w:cs="Mangal"/>
      <w:sz w:val="28"/>
      <w:szCs w:val="28"/>
    </w:rPr>
  </w:style>
  <w:style w:type="paragraph" w:styleId="Encabezado2">
    <w:name w:val="Encabezado2"/>
    <w:basedOn w:val="Normal"/>
    <w:next w:val="Cuerpodetexto"/>
    <w:qFormat/>
    <w:pPr>
      <w:keepNext w:val="true"/>
      <w:spacing w:before="240" w:after="120"/>
    </w:pPr>
    <w:rPr>
      <w:rFonts w:ascii="Liberation Sans;Arial" w:hAnsi="Liberation Sans;Arial" w:eastAsia="Microsoft YaHei" w:cs="Mangal"/>
      <w:sz w:val="28"/>
      <w:szCs w:val="28"/>
    </w:rPr>
  </w:style>
  <w:style w:type="paragraph" w:styleId="WWEncabezado">
    <w:name w:val="WW-Encabezado"/>
    <w:basedOn w:val="Normal"/>
    <w:next w:val="Cuerpodetexto"/>
    <w:qFormat/>
    <w:pPr>
      <w:keepNext w:val="true"/>
      <w:spacing w:before="240" w:after="120"/>
    </w:pPr>
    <w:rPr>
      <w:rFonts w:ascii="Liberation Sans;Arial" w:hAnsi="Liberation Sans;Arial" w:eastAsia="Microsoft YaHei" w:cs="Mangal"/>
      <w:sz w:val="28"/>
      <w:szCs w:val="28"/>
    </w:rPr>
  </w:style>
  <w:style w:type="paragraph" w:styleId="Pie">
    <w:name w:val="Pie"/>
    <w:basedOn w:val="Normal"/>
    <w:qFormat/>
    <w:pPr>
      <w:suppressLineNumbers/>
      <w:spacing w:before="120" w:after="120"/>
    </w:pPr>
    <w:rPr>
      <w:rFonts w:cs="Mangal"/>
      <w:i/>
      <w:iCs/>
      <w:sz w:val="24"/>
      <w:szCs w:val="24"/>
    </w:rPr>
  </w:style>
  <w:style w:type="paragraph" w:styleId="Encabezado3">
    <w:name w:val="Encabezado3"/>
    <w:basedOn w:val="Normal"/>
    <w:next w:val="Cuerpodetexto"/>
    <w:qFormat/>
    <w:pPr>
      <w:keepNext w:val="true"/>
      <w:spacing w:before="240" w:after="120"/>
    </w:pPr>
    <w:rPr>
      <w:rFonts w:ascii="Liberation Sans;Arial" w:hAnsi="Liberation Sans;Arial" w:eastAsia="Microsoft YaHei" w:cs="Mangal"/>
      <w:sz w:val="28"/>
      <w:szCs w:val="28"/>
    </w:rPr>
  </w:style>
  <w:style w:type="paragraph" w:styleId="Epgrafe">
    <w:name w:val="Epígrafe"/>
    <w:basedOn w:val="Normal"/>
    <w:qFormat/>
    <w:pPr>
      <w:suppressLineNumbers/>
      <w:spacing w:before="120" w:after="120"/>
    </w:pPr>
    <w:rPr>
      <w:rFonts w:cs="Mangal"/>
      <w:i/>
      <w:iCs/>
      <w:sz w:val="24"/>
      <w:szCs w:val="24"/>
    </w:rPr>
  </w:style>
  <w:style w:type="paragraph" w:styleId="Epgrafe2">
    <w:name w:val="Epígrafe2"/>
    <w:basedOn w:val="Normal"/>
    <w:qFormat/>
    <w:pPr>
      <w:suppressLineNumbers/>
      <w:spacing w:before="120" w:after="120"/>
    </w:pPr>
    <w:rPr>
      <w:rFonts w:cs="Mangal"/>
      <w:i/>
      <w:iCs/>
      <w:sz w:val="24"/>
      <w:szCs w:val="24"/>
    </w:rPr>
  </w:style>
  <w:style w:type="paragraph" w:styleId="Encabezado1">
    <w:name w:val="Encabezado1"/>
    <w:basedOn w:val="Normal"/>
    <w:next w:val="Cuerpodetexto"/>
    <w:qFormat/>
    <w:pPr>
      <w:keepNext w:val="true"/>
      <w:spacing w:before="240" w:after="120"/>
    </w:pPr>
    <w:rPr>
      <w:rFonts w:ascii="Liberation Sans;Arial" w:hAnsi="Liberation Sans;Arial" w:eastAsia="Microsoft YaHei" w:cs="Mangal"/>
      <w:sz w:val="28"/>
      <w:szCs w:val="28"/>
    </w:rPr>
  </w:style>
  <w:style w:type="paragraph" w:styleId="Epgrafe1">
    <w:name w:val="Epígrafe1"/>
    <w:basedOn w:val="Normal"/>
    <w:qFormat/>
    <w:pPr>
      <w:suppressLineNumbers/>
      <w:spacing w:before="120" w:after="120"/>
    </w:pPr>
    <w:rPr>
      <w:rFonts w:cs="Mangal"/>
      <w:i/>
      <w:iCs/>
      <w:sz w:val="24"/>
      <w:szCs w:val="24"/>
    </w:rPr>
  </w:style>
  <w:style w:type="paragraph" w:styleId="Default">
    <w:name w:val="Default"/>
    <w:qFormat/>
    <w:pPr>
      <w:widowControl/>
      <w:suppressAutoHyphens w:val="true"/>
      <w:overflowPunct w:val="false"/>
      <w:bidi w:val="0"/>
      <w:jc w:val="left"/>
    </w:pPr>
    <w:rPr>
      <w:rFonts w:ascii="Arial" w:hAnsi="Arial" w:eastAsia="Times New Roman" w:cs="Arial"/>
      <w:color w:val="000000"/>
      <w:kern w:val="0"/>
      <w:sz w:val="24"/>
      <w:szCs w:val="24"/>
      <w:lang w:val="es-ES" w:eastAsia="zh-CN" w:bidi="ar-SA"/>
    </w:rPr>
  </w:style>
  <w:style w:type="paragraph" w:styleId="Standard">
    <w:name w:val="Standard"/>
    <w:qFormat/>
    <w:pPr>
      <w:widowControl/>
      <w:suppressAutoHyphens w:val="true"/>
      <w:overflowPunct w:val="false"/>
      <w:bidi w:val="0"/>
      <w:jc w:val="left"/>
      <w:textAlignment w:val="baseline"/>
    </w:pPr>
    <w:rPr>
      <w:rFonts w:ascii="Times New Roman" w:hAnsi="Times New Roman" w:eastAsia="Times New Roman" w:cs="Times New Roman"/>
      <w:color w:val="auto"/>
      <w:kern w:val="2"/>
      <w:sz w:val="24"/>
      <w:szCs w:val="20"/>
      <w:lang w:val="es-ES" w:eastAsia="zh-CN" w:bidi="ar-SA"/>
    </w:rPr>
  </w:style>
  <w:style w:type="paragraph" w:styleId="Contenidodelatabla">
    <w:name w:val="Contenido de la tabla"/>
    <w:basedOn w:val="Normal"/>
    <w:qFormat/>
    <w:pPr>
      <w:suppressLineNumbers/>
    </w:pPr>
    <w:rPr/>
  </w:style>
  <w:style w:type="paragraph" w:styleId="Encabezadodelatabla">
    <w:name w:val="Encabezado de la tabla"/>
    <w:basedOn w:val="Contenidodelatabla"/>
    <w:qFormat/>
    <w:pPr>
      <w:suppressLineNumbers/>
      <w:jc w:val="center"/>
    </w:pPr>
    <w:rPr>
      <w:b/>
      <w:bCs/>
    </w:rPr>
  </w:style>
  <w:style w:type="paragraph" w:styleId="NormalWeb">
    <w:name w:val="Normal (Web)"/>
    <w:basedOn w:val="Normal"/>
    <w:qFormat/>
    <w:pPr>
      <w:spacing w:before="280" w:after="280"/>
    </w:pPr>
    <w:rPr>
      <w:rFonts w:ascii="Times;Times New Roman" w:hAnsi="Times;Times New Roman" w:eastAsia="MS Minngs;w" w:cs="Times;Times New Roman"/>
      <w:sz w:val="20"/>
      <w:szCs w:val="20"/>
    </w:rPr>
  </w:style>
  <w:style w:type="paragraph" w:styleId="Textopreformateado">
    <w:name w:val="Texto preformateado"/>
    <w:basedOn w:val="Normal"/>
    <w:qFormat/>
    <w:pPr>
      <w:spacing w:before="0" w:after="0"/>
    </w:pPr>
    <w:rPr>
      <w:rFonts w:ascii="Liberation Mono;Courier New" w:hAnsi="Liberation Mono;Courier New" w:eastAsia="NSimSun" w:cs="Liberation Mono;Courier New"/>
      <w:sz w:val="20"/>
      <w:szCs w:val="20"/>
    </w:rPr>
  </w:style>
  <w:style w:type="paragraph" w:styleId="Sangra3detindependiente1">
    <w:name w:val="Sangría 3 de t. independiente1"/>
    <w:basedOn w:val="Normal"/>
    <w:qFormat/>
    <w:pPr>
      <w:ind w:left="0" w:right="0" w:firstLine="2835"/>
      <w:jc w:val="both"/>
    </w:pPr>
    <w:rPr>
      <w:sz w:val="24"/>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3107</TotalTime>
  <Application>LibreOffice/6.2.3.2$Windows_X86_64 LibreOffice_project/aecc05fe267cc68dde00352a451aa867b3b546ac</Application>
  <Pages>2</Pages>
  <Words>855</Words>
  <Characters>4301</Characters>
  <CharactersWithSpaces>5251</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2016-01-15T17:58:00Z</dcterms:created>
  <dc:creator>loucas</dc:creator>
  <dc:description/>
  <dc:language>es-ES</dc:language>
  <cp:lastModifiedBy/>
  <cp:lastPrinted>2017-12-29T13:17:00Z</cp:lastPrinted>
  <dcterms:modified xsi:type="dcterms:W3CDTF">2019-12-15T10:17:14Z</dcterms:modified>
  <cp:revision>343</cp:revision>
  <dc:subject/>
  <dc:title>Huesca, 13 de mayo de 2015</dc:title>
</cp:coreProperties>
</file>